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7.png" ContentType="image/png"/>
  <Override PartName="/word/media/rId61.png" ContentType="image/png"/>
  <Override PartName="/word/media/rId66.png" ContentType="image/png"/>
  <Override PartName="/word/media/rId103.png" ContentType="image/png"/>
  <Override PartName="/word/media/rId113.png" ContentType="image/png"/>
  <Override PartName="/word/media/rId10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2"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0"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4.0.0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39"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cubic splines for latitude and longitude (and their interaction) as any response could be complicated by local factors. Our model included random effects of species, trait, phylogeny and study. We predcited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w:t>
      </w:r>
    </w:p>
    <w:bookmarkEnd w:id="39"/>
    <w:bookmarkEnd w:id="40"/>
    <w:bookmarkStart w:id="41"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1"/>
    <w:bookmarkEnd w:id="42"/>
    <w:bookmarkStart w:id="7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5"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7.94% across all habitats (95%CI: 4.79 to 11.24%).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10.12% (95% CI: 6.04 to 14.12) in freshwater and 9.26% (95% CI: 2.62 to 15.8) in marine environments. In contrast, terrestrial ectotherms showed no acclimation (possibly even inverse acclimation) – showing a 4.45%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0.19 to 11.44,</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0.95; Adult-Jeuvenile (Acclimation): 0.05, 95% CI: -0.16 to 0.37,</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2.46% of the variance was the resulting of sampling varianbility, 95% CI: 2.12 to 2.82%), with most variance being explained by the specific study and type of trait (Study: 25.71% , 95% CI: 17.82 to 34.19%; Trait Type: 26.61% , 95% CI: 17.68 to 36.43%). Evolutionary and species specific ecoloogy explained little variation in acute and acclimation repsonses (Species: 2.15% , 95% CI: 0.01 to 7.35%; Phylogeny: 2% , 95% CI: 0 to 9.99%).</w:t>
      </w:r>
    </w:p>
    <w:tbl>
      <w:tblPr>
        <w:tblStyle w:val="Table"/>
        <w:tblW w:type="pct" w:w="5000"/>
        <w:tblLook w:firstRow="0" w:lastRow="0" w:firstColumn="0" w:lastColumn="0" w:noHBand="0" w:noVBand="0" w:val="0000"/>
      </w:tblPr>
      <w:tblGrid>
        <w:gridCol w:w="7920"/>
      </w:tblGrid>
      <w:tr>
        <w:tc>
          <w:tcPr/>
          <w:bookmarkStart w:id="46" w:name="fig-1"/>
          <w:p>
            <w:pPr>
              <w:pStyle w:val="Figure"/>
              <w:jc w:val="center"/>
            </w:pPr>
            <w:r>
              <w:drawing>
                <wp:inline>
                  <wp:extent cx="6680200" cy="4925214"/>
                  <wp:effectExtent b="0" l="0" r="0" t="0"/>
                  <wp:docPr descr="" title="" id="44" name="Picture"/>
                  <a:graphic>
                    <a:graphicData uri="http://schemas.openxmlformats.org/drawingml/2006/picture">
                      <pic:pic>
                        <pic:nvPicPr>
                          <pic:cNvPr descr="ms_files/figure-docx/fig-1-1.png" id="45" name="Picture"/>
                          <pic:cNvPicPr>
                            <a:picLocks noChangeArrowheads="1" noChangeAspect="1"/>
                          </pic:cNvPicPr>
                        </pic:nvPicPr>
                        <pic:blipFill>
                          <a:blip r:embed="rId43"/>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2"/>
          <w:p>
            <w:pPr>
              <w:pStyle w:val="Figure"/>
              <w:jc w:val="center"/>
            </w:pPr>
            <w:r>
              <w:drawing>
                <wp:inline>
                  <wp:extent cx="6680200" cy="2183911"/>
                  <wp:effectExtent b="0" l="0" r="0" t="0"/>
                  <wp:docPr descr="" title="" id="48" name="Picture"/>
                  <a:graphic>
                    <a:graphicData uri="http://schemas.openxmlformats.org/drawingml/2006/picture">
                      <pic:pic>
                        <pic:nvPicPr>
                          <pic:cNvPr descr="ms_files/figure-docx/fig-2-1.png" id="49" name="Picture"/>
                          <pic:cNvPicPr>
                            <a:picLocks noChangeArrowheads="1" noChangeAspect="1"/>
                          </pic:cNvPicPr>
                        </pic:nvPicPr>
                        <pic:blipFill>
                          <a:blip r:embed="rId47"/>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 w:name="fig-3"/>
          <w:p>
            <w:pPr>
              <w:pStyle w:val="Figure"/>
              <w:jc w:val="center"/>
            </w:pPr>
            <w:r>
              <w:drawing>
                <wp:inline>
                  <wp:extent cx="6680200" cy="2147207"/>
                  <wp:effectExtent b="0" l="0" r="0" t="0"/>
                  <wp:docPr descr="" title="" id="52" name="Picture"/>
                  <a:graphic>
                    <a:graphicData uri="http://schemas.openxmlformats.org/drawingml/2006/picture">
                      <pic:pic>
                        <pic:nvPicPr>
                          <pic:cNvPr descr="ms_files/figure-docx/fig-3-1.png" id="53" name="Picture"/>
                          <pic:cNvPicPr>
                            <a:picLocks noChangeArrowheads="1" noChangeAspect="1"/>
                          </pic:cNvPicPr>
                        </pic:nvPicPr>
                        <pic:blipFill>
                          <a:blip r:embed="rId51"/>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4"/>
        </w:tc>
      </w:tr>
    </w:tbl>
    <w:bookmarkEnd w:id="55"/>
    <w:bookmarkStart w:id="56"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27.98% (95% CI: 11.3 to 40.56,</w:t>
      </w:r>
      <w:r>
        <w:t xml:space="preserve"> </w:t>
      </w:r>
      <m:oMath>
        <m:sSub>
          <m:e>
            <m:r>
              <m:t>p</m:t>
            </m:r>
          </m:e>
          <m:sub>
            <m:r>
              <m:t>m</m:t>
            </m:r>
            <m:r>
              <m:t>c</m:t>
            </m:r>
            <m:r>
              <m:t>m</m:t>
            </m:r>
            <m:r>
              <m:t>c</m:t>
            </m:r>
          </m:sub>
        </m:sSub>
      </m:oMath>
      <w:r>
        <w:t xml:space="preserve"> </w:t>
      </w:r>
      <w:r>
        <w:t xml:space="preserve">= 0) reduction in variation in physiological rates for terrestrial ectotherms and a 15.47% (95% CI: 1.85 to 30.27,</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(8.45%, 95% CI: 0.55 to 21.41,</w:t>
      </w:r>
      <w:r>
        <w:t xml:space="preserve"> </w:t>
      </w:r>
      <m:oMath>
        <m:sSub>
          <m:e>
            <m:r>
              <m:t>p</m:t>
            </m:r>
          </m:e>
          <m:sub>
            <m:r>
              <m:t>m</m:t>
            </m:r>
            <m:r>
              <m:t>c</m:t>
            </m:r>
            <m:r>
              <m:t>m</m:t>
            </m:r>
            <m:r>
              <m:t>c</m:t>
            </m:r>
          </m:sub>
        </m:sSub>
      </m:oMath>
      <w:r>
        <w:t xml:space="preserve"> </w:t>
      </w:r>
      <w:r>
        <w:t xml:space="preserve">= 0.31).</w:t>
      </w:r>
    </w:p>
    <w:bookmarkEnd w:id="56"/>
    <w:bookmarkStart w:id="65"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(0.14, 95%CI: 0 to 0.28,</w:t>
      </w:r>
      <w:r>
        <w:t xml:space="preserve"> </w:t>
      </w:r>
      <m:oMath>
        <m:sSub>
          <m:e>
            <m:r>
              <m:t>p</m:t>
            </m:r>
          </m:e>
          <m:sub>
            <m:r>
              <m:t>m</m:t>
            </m:r>
            <m:r>
              <m:t>c</m:t>
            </m:r>
            <m:r>
              <m:t>m</m:t>
            </m:r>
            <m:r>
              <m:t>c</m:t>
            </m:r>
          </m:sub>
        </m:sSub>
      </m:oMath>
      <w:r>
        <w:t xml:space="preserve"> </w:t>
      </w:r>
      <w:r>
        <w:t xml:space="preserve">= 0.04;</w:t>
      </w:r>
      <w:r>
        <w:t xml:space="preserve"> </w:t>
      </w:r>
      <m:oMath>
        <m:sSup>
          <m:e>
            <m:r>
              <m:t>R</m:t>
            </m:r>
          </m:e>
          <m:sup>
            <m:r>
              <m:t>2</m:t>
            </m:r>
          </m:sup>
        </m:sSup>
      </m:oMath>
      <w:r>
        <w:t xml:space="preserve"> </w:t>
      </w:r>
      <w:r>
        <w:t xml:space="preserve">= 27.91%).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4"/>
          <w:p>
            <w:pPr>
              <w:pStyle w:val="Figure"/>
              <w:jc w:val="center"/>
            </w:pPr>
            <w:r>
              <w:drawing>
                <wp:inline>
                  <wp:extent cx="6680200" cy="7087529"/>
                  <wp:effectExtent b="0" l="0" r="0" t="0"/>
                  <wp:docPr descr="" title="" id="58" name="Picture"/>
                  <a:graphic>
                    <a:graphicData uri="http://schemas.openxmlformats.org/drawingml/2006/picture">
                      <pic:pic>
                        <pic:nvPicPr>
                          <pic:cNvPr descr="ms_files/figure-docx/fig-4-1.png" id="59" name="Picture"/>
                          <pic:cNvPicPr>
                            <a:picLocks noChangeArrowheads="1" noChangeAspect="1"/>
                          </pic:cNvPicPr>
                        </pic:nvPicPr>
                        <pic:blipFill>
                          <a:blip r:embed="rId57"/>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5"/>
          <w:p>
            <w:pPr>
              <w:pStyle w:val="Figure"/>
              <w:jc w:val="center"/>
            </w:pPr>
            <w:r>
              <w:drawing>
                <wp:inline>
                  <wp:extent cx="6680200" cy="7087529"/>
                  <wp:effectExtent b="0" l="0" r="0" t="0"/>
                  <wp:docPr descr="" title="" id="62" name="Picture"/>
                  <a:graphic>
                    <a:graphicData uri="http://schemas.openxmlformats.org/drawingml/2006/picture">
                      <pic:pic>
                        <pic:nvPicPr>
                          <pic:cNvPr descr="ms_files/figure-docx/fig-5-1.png" id="63" name="Picture"/>
                          <pic:cNvPicPr>
                            <a:picLocks noChangeArrowheads="1" noChangeAspect="1"/>
                          </pic:cNvPicPr>
                        </pic:nvPicPr>
                        <pic:blipFill>
                          <a:blip r:embed="rId61"/>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4"/>
        </w:tc>
      </w:tr>
    </w:tbl>
    <w:bookmarkEnd w:id="65"/>
    <w:bookmarkStart w:id="70"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Globally, there was a clear bias towards spiecies in the Northern Hemiphere (</w:t>
      </w:r>
      <w:hyperlink w:anchor="fig-preds">
        <w:r>
          <w:rPr>
            <w:rStyle w:val="Hyperlink"/>
          </w:rPr>
          <w:t xml:space="preserve">Figure 6</w:t>
        </w:r>
      </w:hyperlink>
      <w:r>
        <w:t xml:space="preserve">).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tbl>
      <w:tblPr>
        <w:tblStyle w:val="Table"/>
        <w:tblW w:type="pct" w:w="5000"/>
        <w:tblLook w:firstRow="0" w:lastRow="0" w:firstColumn="0" w:lastColumn="0" w:noHBand="0" w:noVBand="0" w:val="0000"/>
      </w:tblPr>
      <w:tblGrid>
        <w:gridCol w:w="7920"/>
      </w:tblGrid>
      <w:tr>
        <w:tc>
          <w:tcPr/>
          <w:bookmarkStart w:id="69" w:name="fig-preds"/>
          <w:p>
            <w:pPr>
              <w:pStyle w:val="Figure"/>
              <w:jc w:val="center"/>
            </w:pPr>
            <w:r>
              <w:drawing>
                <wp:inline>
                  <wp:extent cx="6680200" cy="5285432"/>
                  <wp:effectExtent b="0" l="0" r="0" t="0"/>
                  <wp:docPr descr="" title="" id="67" name="Picture"/>
                  <a:graphic>
                    <a:graphicData uri="http://schemas.openxmlformats.org/drawingml/2006/picture">
                      <pic:pic>
                        <pic:nvPicPr>
                          <pic:cNvPr descr="ms_files/figure-docx/fig-preds-1.png" id="68" name="Picture"/>
                          <pic:cNvPicPr>
                            <a:picLocks noChangeArrowheads="1" noChangeAspect="1"/>
                          </pic:cNvPicPr>
                        </pic:nvPicPr>
                        <pic:blipFill>
                          <a:blip r:embed="rId66"/>
                          <a:stretch>
                            <a:fillRect/>
                          </a:stretch>
                        </pic:blipFill>
                        <pic:spPr bwMode="auto">
                          <a:xfrm>
                            <a:off x="0" y="0"/>
                            <a:ext cx="6680200" cy="5285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69"/>
        </w:tc>
      </w:tr>
    </w:tbl>
    <w:bookmarkEnd w:id="70"/>
    <w:bookmarkEnd w:id="71"/>
    <w:bookmarkStart w:id="7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2"/>
    <w:bookmarkStart w:id="102" w:name="references"/>
    <w:p>
      <w:pPr>
        <w:pStyle w:val="Heading2"/>
      </w:pPr>
      <w:r>
        <w:t xml:space="preserve">References</w:t>
      </w:r>
    </w:p>
    <w:p>
      <w:pPr>
        <w:pStyle w:val="FirstParagraph"/>
      </w:pPr>
    </w:p>
    <w:bookmarkStart w:id="101" w:name="refs"/>
    <w:bookmarkStart w:id="7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3"/>
    <w:bookmarkStart w:id="7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4"/>
    <w:bookmarkStart w:id="7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5"/>
    <w:bookmarkStart w:id="7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6"/>
    <w:bookmarkStart w:id="7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7"/>
    <w:bookmarkStart w:id="7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8"/>
    <w:bookmarkStart w:id="7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79"/>
    <w:bookmarkStart w:id="8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0"/>
    <w:bookmarkStart w:id="8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1"/>
    <w:bookmarkStart w:id="8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2"/>
    <w:bookmarkStart w:id="8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3"/>
    <w:bookmarkStart w:id="8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4"/>
    <w:bookmarkStart w:id="8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5"/>
    <w:bookmarkStart w:id="8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6"/>
    <w:bookmarkStart w:id="8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7"/>
    <w:bookmarkStart w:id="8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8"/>
    <w:bookmarkStart w:id="8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89"/>
    <w:bookmarkStart w:id="9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0"/>
    <w:bookmarkStart w:id="9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1"/>
    <w:bookmarkStart w:id="9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2"/>
    <w:bookmarkStart w:id="9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3"/>
    <w:bookmarkStart w:id="9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4"/>
    <w:bookmarkStart w:id="9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5"/>
    <w:bookmarkStart w:id="9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6"/>
    <w:bookmarkStart w:id="9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7"/>
    <w:bookmarkStart w:id="9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8"/>
    <w:bookmarkStart w:id="9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99"/>
    <w:bookmarkStart w:id="100"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0"/>
    <w:bookmarkEnd w:id="101"/>
    <w:p>
      <w:pPr>
        <w:pStyle w:val="BodyText"/>
      </w:pPr>
    </w:p>
    <w:bookmarkEnd w:id="102"/>
    <w:bookmarkStart w:id="118" w:name="supplemental-results-and-figures"/>
    <w:p>
      <w:pPr>
        <w:pStyle w:val="Heading2"/>
      </w:pPr>
      <w:r>
        <w:t xml:space="preserve">Supplemental Results and Figures</w:t>
      </w:r>
    </w:p>
    <w:bookmarkStart w:id="107"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6" w:name="fig-s1"/>
          <w:p>
            <w:pPr>
              <w:pStyle w:val="Figure"/>
              <w:jc w:val="center"/>
            </w:pPr>
            <w:r>
              <w:drawing>
                <wp:inline>
                  <wp:extent cx="6680200" cy="4647095"/>
                  <wp:effectExtent b="0" l="0" r="0" t="0"/>
                  <wp:docPr descr="" title="" id="104" name="Picture"/>
                  <a:graphic>
                    <a:graphicData uri="http://schemas.openxmlformats.org/drawingml/2006/picture">
                      <pic:pic>
                        <pic:nvPicPr>
                          <pic:cNvPr descr="ms_files/figure-docx/fig-s1-1.png" id="105" name="Picture"/>
                          <pic:cNvPicPr>
                            <a:picLocks noChangeArrowheads="1" noChangeAspect="1"/>
                          </pic:cNvPicPr>
                        </pic:nvPicPr>
                        <pic:blipFill>
                          <a:blip r:embed="rId10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6"/>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aa73c5b-ef28-4e45-8b20-b12065079d40"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aa73c5b-ef28-4e45-8b20-b12065079d40"/>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402"/>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0.7244</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0.0587</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0.1904</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-0.0018</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0.0658</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0.4419</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0.1990</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0.314475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0.4009</w:t>
            </w:r>
          </w:p>
        </w:tc>
      </w:tr>
    </w:tbl>
    <w:bookmarkEnd w:id="107"/>
    <w:bookmarkStart w:id="112"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1" w:name="fig-s3"/>
          <w:p>
            <w:pPr>
              <w:pStyle w:val="Figure"/>
              <w:jc w:val="center"/>
            </w:pPr>
            <w:r>
              <w:drawing>
                <wp:inline>
                  <wp:extent cx="6680200" cy="2379821"/>
                  <wp:effectExtent b="0" l="0" r="0" t="0"/>
                  <wp:docPr descr="" title="" id="109" name="Picture"/>
                  <a:graphic>
                    <a:graphicData uri="http://schemas.openxmlformats.org/drawingml/2006/picture">
                      <pic:pic>
                        <pic:nvPicPr>
                          <pic:cNvPr descr="ms_files/figure-docx/fig-s3-1.png" id="110" name="Picture"/>
                          <pic:cNvPicPr>
                            <a:picLocks noChangeArrowheads="1" noChangeAspect="1"/>
                          </pic:cNvPicPr>
                        </pic:nvPicPr>
                        <pic:blipFill>
                          <a:blip r:embed="rId108"/>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1"/>
        </w:tc>
      </w:tr>
    </w:tbl>
    <w:bookmarkEnd w:id="112"/>
    <w:bookmarkStart w:id="117"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6" w:name="fig-s2"/>
          <w:p>
            <w:pPr>
              <w:pStyle w:val="Figure"/>
              <w:jc w:val="center"/>
            </w:pPr>
            <w:r>
              <w:drawing>
                <wp:inline>
                  <wp:extent cx="6680200" cy="2788257"/>
                  <wp:effectExtent b="0" l="0" r="0" t="0"/>
                  <wp:docPr descr="" title="" id="114" name="Picture"/>
                  <a:graphic>
                    <a:graphicData uri="http://schemas.openxmlformats.org/drawingml/2006/picture">
                      <pic:pic>
                        <pic:nvPicPr>
                          <pic:cNvPr descr="ms_files/figure-docx/fig-s2-1.png" id="115" name="Picture"/>
                          <pic:cNvPicPr>
                            <a:picLocks noChangeArrowheads="1" noChangeAspect="1"/>
                          </pic:cNvPicPr>
                        </pic:nvPicPr>
                        <pic:blipFill>
                          <a:blip r:embed="rId113"/>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6"/>
        </w:tc>
      </w:tr>
    </w:tbl>
    <w:bookmarkEnd w:id="117"/>
    <w:bookmarkEnd w:id="118"/>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113" Target="media/rId113.png" /><Relationship Type="http://schemas.openxmlformats.org/officeDocument/2006/relationships/image" Id="rId108" Target="media/rId10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2023-05-01T00:07:31Z</dcterms:created>
  <dcterms:modified xsi:type="dcterms:W3CDTF">2023-05-01T00:07:31Z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